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</w:pPr>
      <w:r w:rsidRPr="00261B9A"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  <w:t>МИНИСТЕРСТВО ЭКОНОМИЧЕСКОГО РАЗВИТИЯ РОССИЙСКОЙ ФЕДЕРАЦИИ</w:t>
      </w:r>
    </w:p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</w:pPr>
    </w:p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</w:pPr>
      <w:bookmarkStart w:id="0" w:name="dst100009"/>
      <w:bookmarkEnd w:id="0"/>
      <w:r w:rsidRPr="00261B9A"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  <w:t>ПИСЬМО</w:t>
      </w:r>
    </w:p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</w:pPr>
      <w:r w:rsidRPr="00261B9A"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  <w:t>от 10 октября 2017 г. N Д23и-5855</w:t>
      </w:r>
    </w:p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48"/>
          <w:lang w:eastAsia="ru-RU"/>
        </w:rPr>
      </w:pPr>
    </w:p>
    <w:p w:rsidR="00261B9A" w:rsidRPr="00261B9A" w:rsidRDefault="00261B9A" w:rsidP="00261B9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</w:pPr>
      <w:bookmarkStart w:id="1" w:name="dst100010"/>
      <w:bookmarkEnd w:id="1"/>
      <w:r w:rsidRPr="00261B9A"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  <w:t>О ПЕРЕРАСПРЕДЕЛЕНИИ ЗЕМЕЛЬНЫХ УЧАСТКОВ</w:t>
      </w:r>
    </w:p>
    <w:p w:rsidR="00261B9A" w:rsidRPr="00261B9A" w:rsidRDefault="00261B9A" w:rsidP="00261B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11"/>
      <w:bookmarkEnd w:id="2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недвижимости Минэкономразвития России (далее - Департамент по вопросу недвижимости) по вопросу образования одного земельного участка путем перераспределения земель, земельного участка, государственная собственность на который не разграничена, и земельного участка, находящегося в частной собственности, и в части своей компетенции сообщает.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12"/>
      <w:bookmarkEnd w:id="3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dst100019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 (далее -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Согласно </w:t>
      </w:r>
      <w:hyperlink r:id="rId5" w:anchor="dst100019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не наделено полномочиями по официальному разъяснению законодательства Российской Федерации, а также практики его применения.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13"/>
      <w:bookmarkEnd w:id="4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 инженеры являются профессиональными участниками кадастровых отношений, получившими такой статус в результате сдачи квалификационного экзамена, и должны обладать достаточными знаниями для выполнения кадастровых работ даже при изменении положений законодательства Российской Федерации.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14"/>
      <w:bookmarkEnd w:id="5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dst663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части 6 статьи 30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г. N 221-ФЗ "О кадастровой деятельности" (далее - Закон N 221-ФЗ функцией саморегулируемой организации кадастровых инженеров </w:t>
      </w:r>
      <w:proofErr w:type="gramStart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организация информационного и методического обеспечения своих членов. Согласно </w:t>
      </w:r>
      <w:hyperlink r:id="rId7" w:anchor="dst649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 статьи 30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221-ФЗ основанием для включения сведений об ассоциации (союзе) в государственный реестр саморегулируемых организаций кадастровых инженеров является наличие предусмотренных </w:t>
      </w:r>
      <w:hyperlink r:id="rId8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221-ФЗ органов управления, в том числе методического органа.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15"/>
      <w:bookmarkEnd w:id="6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рекомендуем до подготовки письменного обращения в Минэкономразвития России по вопросам организации кадастровой деятельности, в том числе разъяснения положений нормативных актов, подлежащих применению при кадастровых работах, обращаться, прежде всего, в методический орган соответствующей саморегулируемой организации.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16"/>
      <w:bookmarkEnd w:id="7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недвижимости полагает возможным отметить следующее.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7"/>
      <w:bookmarkEnd w:id="8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образования земельных участков путем перераспределения регулируется </w:t>
      </w:r>
      <w:hyperlink r:id="rId9" w:anchor="dst151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11.7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8"/>
      <w:bookmarkEnd w:id="9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anchor="dst152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11.7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при перераспределении нескольких смежных земельных участков образуются несколько других смежных земельных участков, и существование таких смежных земельных участков прекращается. При перераспределении земель и земельного участка существование исходного земельного участка прекращается и образуется новый земельный участок.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9"/>
      <w:bookmarkEnd w:id="10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при перераспределении может быть образован один земельный участок в случае перераспределения земель и одного земельного участка.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20"/>
      <w:bookmarkEnd w:id="11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положения </w:t>
      </w:r>
      <w:hyperlink r:id="rId11" w:anchor="dst152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11.7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распространяются как на земельные участки частной собственности, так и на земельные участки, находящиеся в государственной или муниципальной собственности либо государственная собственность на которые не разграничена.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21"/>
      <w:bookmarkEnd w:id="12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с учетом положений </w:t>
      </w:r>
      <w:hyperlink r:id="rId12" w:anchor="dst144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11.6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образование одного земельного участка путем преобразования нескольких земельных участков допускается только при объединении земельных участков.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22"/>
      <w:bookmarkEnd w:id="13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Департамент недвижимости отмечает, что в силу </w:t>
      </w:r>
      <w:hyperlink r:id="rId13" w:anchor="dst151" w:history="1">
        <w:r w:rsidRPr="00261B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11.7</w:t>
        </w:r>
      </w:hyperlink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не допускается перераспределение земель и нескольких земельных участков (вне зависимости от формы их собственности).</w:t>
      </w:r>
    </w:p>
    <w:p w:rsidR="00261B9A" w:rsidRPr="00261B9A" w:rsidRDefault="00261B9A" w:rsidP="00261B9A">
      <w:pPr>
        <w:spacing w:after="0" w:line="240" w:lineRule="auto"/>
        <w:ind w:firstLine="5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B9A" w:rsidRPr="00261B9A" w:rsidRDefault="00261B9A" w:rsidP="00261B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23"/>
      <w:bookmarkEnd w:id="14"/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недвижимости</w:t>
      </w:r>
    </w:p>
    <w:p w:rsidR="00261B9A" w:rsidRPr="00261B9A" w:rsidRDefault="00261B9A" w:rsidP="00261B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А.И.БУТОВЕЦКИЙ</w:t>
      </w:r>
    </w:p>
    <w:p w:rsidR="000559A3" w:rsidRDefault="000559A3" w:rsidP="00261B9A">
      <w:pPr>
        <w:spacing w:after="0"/>
        <w:contextualSpacing/>
      </w:pPr>
    </w:p>
    <w:sectPr w:rsidR="000559A3" w:rsidSect="0005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B9A"/>
    <w:rsid w:val="000559A3"/>
    <w:rsid w:val="0026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3"/>
  </w:style>
  <w:style w:type="paragraph" w:styleId="1">
    <w:name w:val="heading 1"/>
    <w:basedOn w:val="a"/>
    <w:link w:val="10"/>
    <w:uiPriority w:val="9"/>
    <w:qFormat/>
    <w:rsid w:val="0026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61B9A"/>
  </w:style>
  <w:style w:type="character" w:styleId="a3">
    <w:name w:val="Hyperlink"/>
    <w:basedOn w:val="a0"/>
    <w:uiPriority w:val="99"/>
    <w:semiHidden/>
    <w:unhideWhenUsed/>
    <w:rsid w:val="00261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" TargetMode="External"/><Relationship Id="rId13" Type="http://schemas.openxmlformats.org/officeDocument/2006/relationships/hyperlink" Target="http://www.consultant.ru/document/cons_doc_LAW_33773/21b30dd9d0b41e0915d5f82a4ea0a08cb7aa503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0088/09c2bc1b62a4aa13a105337253e62b4bf1843c3b/" TargetMode="External"/><Relationship Id="rId12" Type="http://schemas.openxmlformats.org/officeDocument/2006/relationships/hyperlink" Target="http://www.consultant.ru/document/cons_doc_LAW_33773/8e04d8974bad4cc53c97310791c9ba6674a00d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0088/09c2bc1b62a4aa13a105337253e62b4bf1843c3b/" TargetMode="External"/><Relationship Id="rId11" Type="http://schemas.openxmlformats.org/officeDocument/2006/relationships/hyperlink" Target="http://www.consultant.ru/document/cons_doc_LAW_33773/21b30dd9d0b41e0915d5f82a4ea0a08cb7aa503a/" TargetMode="External"/><Relationship Id="rId5" Type="http://schemas.openxmlformats.org/officeDocument/2006/relationships/hyperlink" Target="http://www.consultant.ru/document/cons_doc_LAW_77491/c3e3b9a212837e8c27f7ce0c0bfadeb0a76435c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773/21b30dd9d0b41e0915d5f82a4ea0a08cb7aa503a/" TargetMode="External"/><Relationship Id="rId4" Type="http://schemas.openxmlformats.org/officeDocument/2006/relationships/hyperlink" Target="http://www.consultant.ru/document/cons_doc_LAW_77491/c3e3b9a212837e8c27f7ce0c0bfadeb0a76435cc/" TargetMode="External"/><Relationship Id="rId9" Type="http://schemas.openxmlformats.org/officeDocument/2006/relationships/hyperlink" Target="http://www.consultant.ru/document/cons_doc_LAW_33773/21b30dd9d0b41e0915d5f82a4ea0a08cb7aa503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Company>BSK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kadastr_1</dc:creator>
  <cp:keywords/>
  <dc:description/>
  <cp:lastModifiedBy>kadastr_1</cp:lastModifiedBy>
  <cp:revision>2</cp:revision>
  <cp:lastPrinted>2017-11-13T09:59:00Z</cp:lastPrinted>
  <dcterms:created xsi:type="dcterms:W3CDTF">2017-11-13T09:59:00Z</dcterms:created>
  <dcterms:modified xsi:type="dcterms:W3CDTF">2017-11-13T10:00:00Z</dcterms:modified>
</cp:coreProperties>
</file>